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77" w:rsidRDefault="004B5E77" w:rsidP="004B5E77">
      <w:pPr>
        <w:rPr>
          <w:rFonts w:ascii="Tahoma" w:hAnsi="Tahoma" w:cs="Tahoma"/>
          <w:lang w:val="es-ES"/>
        </w:rPr>
      </w:pPr>
    </w:p>
    <w:p w:rsidR="004B5E77" w:rsidRDefault="004B5E77" w:rsidP="004B5E77">
      <w:pPr>
        <w:jc w:val="center"/>
        <w:rPr>
          <w:rFonts w:ascii="Tahoma" w:hAnsi="Tahoma" w:cs="Tahoma"/>
          <w:lang w:val="es-ES"/>
        </w:rPr>
      </w:pPr>
    </w:p>
    <w:p w:rsidR="004B5E77" w:rsidRDefault="004B5E77" w:rsidP="004B5E77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Bogotá, agosto 6 de 2010</w:t>
      </w:r>
    </w:p>
    <w:p w:rsidR="004B5E77" w:rsidRDefault="004B5E77" w:rsidP="004B5E77">
      <w:pPr>
        <w:jc w:val="center"/>
        <w:rPr>
          <w:rFonts w:ascii="Tahoma" w:hAnsi="Tahoma" w:cs="Tahoma"/>
          <w:b/>
          <w:bCs/>
          <w:lang w:val="es-ES"/>
        </w:rPr>
      </w:pPr>
      <w:r>
        <w:rPr>
          <w:rFonts w:ascii="Tahoma" w:hAnsi="Tahoma" w:cs="Tahoma"/>
          <w:b/>
          <w:bCs/>
          <w:lang w:val="es-ES"/>
        </w:rPr>
        <w:t>COMUNICADO DE PRENSA</w:t>
      </w:r>
    </w:p>
    <w:p w:rsidR="004B5E77" w:rsidRDefault="004B5E77" w:rsidP="004B5E77">
      <w:pPr>
        <w:jc w:val="center"/>
        <w:rPr>
          <w:rFonts w:ascii="Tahoma" w:hAnsi="Tahoma" w:cs="Tahoma"/>
          <w:lang w:val="es-ES"/>
        </w:rPr>
      </w:pPr>
    </w:p>
    <w:p w:rsidR="004B5E77" w:rsidRDefault="004B5E77" w:rsidP="004B5E77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La Asociación de Diarios Colombianos (ANDIARIOS), y la Asociación Nacional de Medios de Comunicación (ASOMEDIOS), dan a conocer la inversión publicitaria de los diferentes medios de comunicación del primer trimestre 2010, segundo trimestre 2010, acumulado primer semestre 2010 y su comparativo en los mismos periodos del año 2009.</w:t>
      </w:r>
    </w:p>
    <w:p w:rsidR="004B5E77" w:rsidRDefault="004B5E77" w:rsidP="004B5E77">
      <w:pPr>
        <w:jc w:val="center"/>
        <w:rPr>
          <w:rFonts w:ascii="Tahoma" w:hAnsi="Tahoma" w:cs="Tahoma"/>
          <w:lang w:val="es-ES"/>
        </w:rPr>
      </w:pPr>
    </w:p>
    <w:tbl>
      <w:tblPr>
        <w:tblW w:w="10915" w:type="dxa"/>
        <w:tblCellMar>
          <w:left w:w="0" w:type="dxa"/>
          <w:right w:w="0" w:type="dxa"/>
        </w:tblCellMar>
        <w:tblLook w:val="04A0"/>
      </w:tblPr>
      <w:tblGrid>
        <w:gridCol w:w="10915"/>
      </w:tblGrid>
      <w:tr w:rsidR="004B5E77" w:rsidTr="004B5E77"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E77" w:rsidRDefault="004B5E77" w:rsidP="004B5E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5E77" w:rsidRDefault="004B5E77" w:rsidP="004B5E77">
      <w:pPr>
        <w:rPr>
          <w:color w:val="000099"/>
        </w:rPr>
      </w:pPr>
    </w:p>
    <w:p w:rsidR="004B5E77" w:rsidRDefault="004B5E77" w:rsidP="004B5E77">
      <w:pPr>
        <w:jc w:val="center"/>
        <w:rPr>
          <w:color w:val="000099"/>
        </w:rPr>
      </w:pPr>
      <w:r>
        <w:rPr>
          <w:noProof/>
          <w:color w:val="000099"/>
        </w:rPr>
        <w:drawing>
          <wp:inline distT="0" distB="0" distL="0" distR="0">
            <wp:extent cx="7122795" cy="3224530"/>
            <wp:effectExtent l="19050" t="0" r="1905" b="0"/>
            <wp:docPr id="1" name="Imagen 1" descr="cid:84FD087E9C4A4E4893C055911CCFC446@DIREC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84FD087E9C4A4E4893C055911CCFC446@DIRECCIO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795" cy="322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63E" w:rsidRDefault="0007363E"/>
    <w:sectPr w:rsidR="0007363E" w:rsidSect="004B5E7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5E77"/>
    <w:rsid w:val="0007363E"/>
    <w:rsid w:val="004B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77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E77"/>
    <w:rPr>
      <w:rFonts w:ascii="Tahoma" w:hAnsi="Tahoma" w:cs="Tahoma"/>
      <w:sz w:val="16"/>
      <w:szCs w:val="16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B358D.31BD1F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asomedios1</dc:creator>
  <cp:lastModifiedBy>asomedios1</cp:lastModifiedBy>
  <cp:revision>1</cp:revision>
  <dcterms:created xsi:type="dcterms:W3CDTF">2010-09-09T20:06:00Z</dcterms:created>
  <dcterms:modified xsi:type="dcterms:W3CDTF">2010-09-09T20:08:00Z</dcterms:modified>
</cp:coreProperties>
</file>